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D28" w:rsidRDefault="00995D28" w:rsidP="00995D28">
      <w:pPr>
        <w:jc w:val="center"/>
        <w:rPr>
          <w:rFonts w:ascii="Arial" w:hAnsi="Arial" w:cs="Arial"/>
          <w:b/>
          <w:sz w:val="56"/>
          <w:szCs w:val="56"/>
        </w:rPr>
      </w:pPr>
    </w:p>
    <w:p w:rsidR="00995D28" w:rsidRDefault="00995D28" w:rsidP="00995D28">
      <w:pPr>
        <w:jc w:val="center"/>
        <w:rPr>
          <w:rFonts w:ascii="Arial" w:hAnsi="Arial" w:cs="Arial"/>
          <w:b/>
          <w:sz w:val="56"/>
          <w:szCs w:val="56"/>
        </w:rPr>
      </w:pPr>
    </w:p>
    <w:p w:rsidR="00995D28" w:rsidRDefault="00995D28" w:rsidP="00995D28">
      <w:pPr>
        <w:jc w:val="center"/>
        <w:rPr>
          <w:rFonts w:ascii="Arial" w:hAnsi="Arial" w:cs="Arial"/>
          <w:b/>
          <w:sz w:val="56"/>
          <w:szCs w:val="56"/>
        </w:rPr>
      </w:pPr>
    </w:p>
    <w:p w:rsidR="00995D28" w:rsidRDefault="00995D28" w:rsidP="00995D28">
      <w:pPr>
        <w:jc w:val="center"/>
        <w:rPr>
          <w:rFonts w:ascii="Arial" w:hAnsi="Arial" w:cs="Arial"/>
          <w:b/>
          <w:sz w:val="56"/>
          <w:szCs w:val="56"/>
        </w:rPr>
      </w:pPr>
    </w:p>
    <w:p w:rsidR="00995D28" w:rsidRDefault="00995D28" w:rsidP="00995D28">
      <w:pPr>
        <w:jc w:val="center"/>
        <w:rPr>
          <w:rFonts w:ascii="Arial" w:hAnsi="Arial" w:cs="Arial"/>
          <w:b/>
          <w:sz w:val="56"/>
          <w:szCs w:val="56"/>
        </w:rPr>
      </w:pPr>
    </w:p>
    <w:p w:rsidR="00995D28" w:rsidRDefault="00995D28" w:rsidP="00995D28">
      <w:pPr>
        <w:jc w:val="center"/>
        <w:rPr>
          <w:rFonts w:ascii="Arial" w:hAnsi="Arial" w:cs="Arial"/>
          <w:b/>
          <w:sz w:val="56"/>
          <w:szCs w:val="56"/>
        </w:rPr>
      </w:pPr>
    </w:p>
    <w:p w:rsidR="00995D28" w:rsidRDefault="00995D28" w:rsidP="00995D28">
      <w:pPr>
        <w:jc w:val="center"/>
        <w:rPr>
          <w:rFonts w:ascii="Arial" w:hAnsi="Arial" w:cs="Arial"/>
          <w:b/>
          <w:sz w:val="56"/>
          <w:szCs w:val="56"/>
        </w:rPr>
      </w:pPr>
    </w:p>
    <w:p w:rsidR="00F16BB6" w:rsidRDefault="00F16BB6" w:rsidP="00F16BB6">
      <w:pPr>
        <w:jc w:val="center"/>
        <w:rPr>
          <w:rFonts w:ascii="Arial" w:hAnsi="Arial" w:cs="Arial"/>
          <w:b/>
          <w:sz w:val="56"/>
          <w:szCs w:val="56"/>
        </w:rPr>
      </w:pPr>
      <w:r>
        <w:rPr>
          <w:rFonts w:ascii="Arial" w:hAnsi="Arial" w:cs="Arial"/>
          <w:b/>
          <w:sz w:val="56"/>
          <w:szCs w:val="56"/>
        </w:rPr>
        <w:t>ПОЛОЖЕНИЕ</w:t>
      </w:r>
    </w:p>
    <w:p w:rsidR="00F16BB6" w:rsidRPr="00F16BB6" w:rsidRDefault="00F16BB6" w:rsidP="00F16BB6">
      <w:pPr>
        <w:jc w:val="center"/>
        <w:rPr>
          <w:rFonts w:ascii="Arial" w:hAnsi="Arial" w:cs="Arial"/>
          <w:b/>
          <w:sz w:val="56"/>
          <w:szCs w:val="56"/>
        </w:rPr>
      </w:pPr>
      <w:r w:rsidRPr="00F16BB6">
        <w:rPr>
          <w:rFonts w:ascii="Arial" w:hAnsi="Arial" w:cs="Arial"/>
          <w:b/>
          <w:sz w:val="56"/>
          <w:szCs w:val="56"/>
        </w:rPr>
        <w:t>О ПОРЯДКЕ ПРОВЕДЕНИЯ</w:t>
      </w:r>
    </w:p>
    <w:p w:rsidR="00F16BB6" w:rsidRPr="00F16BB6" w:rsidRDefault="00F16BB6" w:rsidP="00F16BB6">
      <w:pPr>
        <w:jc w:val="center"/>
        <w:rPr>
          <w:rFonts w:ascii="Arial" w:hAnsi="Arial" w:cs="Arial"/>
          <w:b/>
          <w:sz w:val="56"/>
          <w:szCs w:val="56"/>
        </w:rPr>
      </w:pPr>
      <w:r w:rsidRPr="00F16BB6">
        <w:rPr>
          <w:rFonts w:ascii="Arial" w:hAnsi="Arial" w:cs="Arial"/>
          <w:b/>
          <w:sz w:val="56"/>
          <w:szCs w:val="56"/>
        </w:rPr>
        <w:t>ОБЩЕСТВЕННОЙ ПАЛАТОЙ ТЮМЕНСКОЙ ОБЛАСТИ</w:t>
      </w:r>
    </w:p>
    <w:p w:rsidR="00995D28" w:rsidRDefault="00F16BB6" w:rsidP="00F16BB6">
      <w:pPr>
        <w:jc w:val="center"/>
        <w:rPr>
          <w:rFonts w:ascii="Arial" w:hAnsi="Arial" w:cs="Arial"/>
          <w:b/>
          <w:sz w:val="40"/>
          <w:szCs w:val="40"/>
        </w:rPr>
      </w:pPr>
      <w:r w:rsidRPr="00F16BB6">
        <w:rPr>
          <w:rFonts w:ascii="Arial" w:hAnsi="Arial" w:cs="Arial"/>
          <w:b/>
          <w:sz w:val="56"/>
          <w:szCs w:val="56"/>
        </w:rPr>
        <w:t>ОБЩЕСТВЕННОЙ ЭКСПЕРТИЗЫ ПРОЕКТОВ ЗАКОНОВ</w:t>
      </w:r>
      <w:r>
        <w:rPr>
          <w:rFonts w:ascii="Arial" w:hAnsi="Arial" w:cs="Arial"/>
          <w:b/>
          <w:sz w:val="56"/>
          <w:szCs w:val="56"/>
        </w:rPr>
        <w:t xml:space="preserve"> </w:t>
      </w:r>
      <w:r w:rsidRPr="00F16BB6">
        <w:rPr>
          <w:rFonts w:ascii="Arial" w:hAnsi="Arial" w:cs="Arial"/>
          <w:b/>
          <w:sz w:val="56"/>
          <w:szCs w:val="56"/>
        </w:rPr>
        <w:t>И ИНЫХ НОРМАТИВНЫХ ПРАВОВЫХ АКТОВ ТЮМЕНСКОЙ ОБЛАСТИ</w:t>
      </w:r>
    </w:p>
    <w:p w:rsidR="00995D28" w:rsidRDefault="00995D28" w:rsidP="00995D28">
      <w:pPr>
        <w:jc w:val="center"/>
        <w:rPr>
          <w:rFonts w:ascii="Arial" w:hAnsi="Arial" w:cs="Arial"/>
          <w:b/>
          <w:sz w:val="40"/>
          <w:szCs w:val="40"/>
        </w:rPr>
      </w:pPr>
    </w:p>
    <w:p w:rsidR="00995D28" w:rsidRDefault="00995D28" w:rsidP="00995D28">
      <w:pPr>
        <w:jc w:val="center"/>
        <w:rPr>
          <w:rFonts w:ascii="Arial" w:hAnsi="Arial" w:cs="Arial"/>
          <w:b/>
          <w:sz w:val="40"/>
          <w:szCs w:val="40"/>
        </w:rPr>
      </w:pPr>
    </w:p>
    <w:p w:rsidR="00995D28" w:rsidRDefault="00995D28" w:rsidP="00995D28">
      <w:pPr>
        <w:jc w:val="center"/>
        <w:rPr>
          <w:rFonts w:ascii="Arial" w:hAnsi="Arial" w:cs="Arial"/>
          <w:b/>
          <w:sz w:val="40"/>
          <w:szCs w:val="40"/>
        </w:rPr>
      </w:pPr>
    </w:p>
    <w:p w:rsidR="00995D28" w:rsidRDefault="00995D28" w:rsidP="00995D28">
      <w:pPr>
        <w:jc w:val="center"/>
        <w:rPr>
          <w:rFonts w:ascii="Arial" w:hAnsi="Arial" w:cs="Arial"/>
          <w:b/>
          <w:sz w:val="40"/>
          <w:szCs w:val="40"/>
        </w:rPr>
      </w:pPr>
    </w:p>
    <w:p w:rsidR="00995D28" w:rsidRDefault="00995D28" w:rsidP="00995D28">
      <w:pPr>
        <w:jc w:val="center"/>
        <w:rPr>
          <w:rFonts w:ascii="Arial" w:hAnsi="Arial" w:cs="Arial"/>
          <w:b/>
          <w:sz w:val="40"/>
          <w:szCs w:val="40"/>
        </w:rPr>
      </w:pPr>
    </w:p>
    <w:p w:rsidR="00995D28" w:rsidRDefault="00995D28" w:rsidP="00995D28">
      <w:pPr>
        <w:jc w:val="center"/>
        <w:rPr>
          <w:rFonts w:ascii="Arial" w:hAnsi="Arial" w:cs="Arial"/>
          <w:b/>
          <w:sz w:val="40"/>
          <w:szCs w:val="40"/>
        </w:rPr>
      </w:pPr>
    </w:p>
    <w:p w:rsidR="00995D28" w:rsidRDefault="00995D28" w:rsidP="00995D28">
      <w:pPr>
        <w:jc w:val="center"/>
        <w:rPr>
          <w:rFonts w:ascii="Arial" w:hAnsi="Arial" w:cs="Arial"/>
          <w:b/>
          <w:sz w:val="40"/>
          <w:szCs w:val="40"/>
        </w:rPr>
      </w:pPr>
    </w:p>
    <w:p w:rsidR="00995D28" w:rsidRDefault="00995D28" w:rsidP="00995D28">
      <w:pPr>
        <w:jc w:val="center"/>
        <w:rPr>
          <w:rFonts w:ascii="Arial" w:hAnsi="Arial" w:cs="Arial"/>
          <w:b/>
          <w:sz w:val="40"/>
          <w:szCs w:val="40"/>
        </w:rPr>
      </w:pPr>
    </w:p>
    <w:p w:rsidR="00995D28" w:rsidRDefault="00995D28" w:rsidP="00995D28">
      <w:pPr>
        <w:jc w:val="center"/>
        <w:rPr>
          <w:rFonts w:ascii="Arial" w:hAnsi="Arial" w:cs="Arial"/>
          <w:b/>
          <w:sz w:val="28"/>
          <w:szCs w:val="28"/>
        </w:rPr>
      </w:pPr>
      <w:r w:rsidRPr="00655751">
        <w:rPr>
          <w:rFonts w:ascii="Arial" w:hAnsi="Arial" w:cs="Arial"/>
          <w:b/>
          <w:sz w:val="28"/>
          <w:szCs w:val="28"/>
        </w:rPr>
        <w:t>г. Тюмень</w:t>
      </w:r>
      <w:r>
        <w:rPr>
          <w:rFonts w:ascii="Arial" w:hAnsi="Arial" w:cs="Arial"/>
          <w:b/>
          <w:sz w:val="28"/>
          <w:szCs w:val="28"/>
        </w:rPr>
        <w:t xml:space="preserve">, </w:t>
      </w:r>
      <w:r w:rsidRPr="00655751">
        <w:rPr>
          <w:rFonts w:ascii="Arial" w:hAnsi="Arial" w:cs="Arial"/>
          <w:b/>
          <w:sz w:val="28"/>
          <w:szCs w:val="28"/>
        </w:rPr>
        <w:t>201</w:t>
      </w:r>
      <w:r>
        <w:rPr>
          <w:rFonts w:ascii="Arial" w:hAnsi="Arial" w:cs="Arial"/>
          <w:b/>
          <w:sz w:val="28"/>
          <w:szCs w:val="28"/>
        </w:rPr>
        <w:t>8</w:t>
      </w:r>
      <w:bookmarkStart w:id="0" w:name="bookmark0"/>
      <w:r>
        <w:rPr>
          <w:rFonts w:ascii="Arial" w:hAnsi="Arial" w:cs="Arial"/>
          <w:b/>
          <w:sz w:val="28"/>
          <w:szCs w:val="28"/>
        </w:rPr>
        <w:t xml:space="preserve"> г.</w:t>
      </w:r>
      <w:r>
        <w:rPr>
          <w:rFonts w:ascii="Arial" w:hAnsi="Arial" w:cs="Arial"/>
          <w:b/>
          <w:sz w:val="28"/>
          <w:szCs w:val="28"/>
        </w:rPr>
        <w:br w:type="page"/>
      </w:r>
    </w:p>
    <w:bookmarkEnd w:id="0"/>
    <w:p w:rsidR="00F16BB6" w:rsidRPr="00611626" w:rsidRDefault="008569B7" w:rsidP="008569B7">
      <w:pPr>
        <w:jc w:val="center"/>
        <w:rPr>
          <w:rFonts w:ascii="Times New Roman" w:hAnsi="Times New Roman" w:cs="Times New Roman"/>
        </w:rPr>
      </w:pPr>
      <w:r w:rsidRPr="008569B7">
        <w:rPr>
          <w:rFonts w:ascii="Arial" w:hAnsi="Arial" w:cs="Arial"/>
          <w:b/>
          <w:sz w:val="28"/>
          <w:szCs w:val="28"/>
        </w:rPr>
        <w:lastRenderedPageBreak/>
        <w:t xml:space="preserve">1. </w:t>
      </w:r>
      <w:r w:rsidR="00F16BB6" w:rsidRPr="008569B7">
        <w:rPr>
          <w:rFonts w:ascii="Arial" w:hAnsi="Arial" w:cs="Arial"/>
          <w:b/>
          <w:sz w:val="28"/>
          <w:szCs w:val="28"/>
        </w:rPr>
        <w:t>Принципы, цели и задачи общественной экспертизы</w:t>
      </w:r>
      <w:bookmarkStart w:id="1" w:name="_GoBack"/>
      <w:bookmarkEnd w:id="1"/>
    </w:p>
    <w:p w:rsidR="00F16BB6" w:rsidRPr="00F16BB6" w:rsidRDefault="00F16BB6" w:rsidP="00F16BB6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F16BB6">
        <w:rPr>
          <w:rFonts w:ascii="Arial" w:hAnsi="Arial" w:cs="Arial"/>
          <w:sz w:val="28"/>
          <w:szCs w:val="28"/>
        </w:rPr>
        <w:t xml:space="preserve">В целях реализации функций, возложенных на Общественную палату Тюменской области (далее </w:t>
      </w:r>
      <w:r w:rsidR="006A56B9">
        <w:rPr>
          <w:rFonts w:ascii="Arial" w:hAnsi="Arial" w:cs="Arial"/>
          <w:sz w:val="28"/>
          <w:szCs w:val="28"/>
        </w:rPr>
        <w:t>–</w:t>
      </w:r>
      <w:r w:rsidRPr="00F16BB6">
        <w:rPr>
          <w:rFonts w:ascii="Arial" w:hAnsi="Arial" w:cs="Arial"/>
          <w:sz w:val="28"/>
          <w:szCs w:val="28"/>
        </w:rPr>
        <w:t xml:space="preserve"> Общественная палата) Законом Тюменской области от 27.05.2010 N 29 "Об Общественной палате Тюменской области", Общественная палата по решению Совета Общественной палаты проводит экспертизу проектов региональных законов и иных нормативных правовых актов.</w:t>
      </w:r>
    </w:p>
    <w:p w:rsidR="00F16BB6" w:rsidRPr="00F16BB6" w:rsidRDefault="00F16BB6" w:rsidP="00F16BB6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F16BB6">
        <w:rPr>
          <w:rFonts w:ascii="Arial" w:hAnsi="Arial" w:cs="Arial"/>
          <w:sz w:val="28"/>
          <w:szCs w:val="28"/>
        </w:rPr>
        <w:t>Нормативные правовые акты должны соответствовать по содержанию, по форме требованиям законодательства; при их разработке должны учитываться правовые, экономические, социальные аспекты, они должны иметь подробную и вместе с тем логическую, четкую структуру, быть доступными для понимания и использования.</w:t>
      </w:r>
    </w:p>
    <w:p w:rsidR="00F16BB6" w:rsidRPr="00F16BB6" w:rsidRDefault="00F16BB6" w:rsidP="00F16BB6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F16BB6">
        <w:rPr>
          <w:rFonts w:ascii="Arial" w:hAnsi="Arial" w:cs="Arial"/>
          <w:sz w:val="28"/>
          <w:szCs w:val="28"/>
        </w:rPr>
        <w:t>Целью общественной экспертизы является согласование общественно значимых интересов граждан Тюменской области, общественных объединений, органов государственной власти и органов местного самоуправления. Общественная палата проводит экспертизу проектов законов области, затрагивающих вопросы государственной социальной политики и конституционных прав граждан Тюменской области.</w:t>
      </w:r>
    </w:p>
    <w:p w:rsidR="00F16BB6" w:rsidRPr="00F16BB6" w:rsidRDefault="00F16BB6" w:rsidP="00F16BB6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F16BB6">
        <w:rPr>
          <w:rFonts w:ascii="Arial" w:hAnsi="Arial" w:cs="Arial"/>
          <w:sz w:val="28"/>
          <w:szCs w:val="28"/>
        </w:rPr>
        <w:t>Проведение общественной экспертизы основано на следующих принципах: публичности и открытости; качества и ответственности; социальной значимости; репрезентативности.</w:t>
      </w:r>
    </w:p>
    <w:p w:rsidR="00F16BB6" w:rsidRPr="00F16BB6" w:rsidRDefault="00F16BB6" w:rsidP="008569B7">
      <w:pPr>
        <w:pStyle w:val="a3"/>
        <w:ind w:left="0"/>
        <w:rPr>
          <w:rFonts w:ascii="Arial" w:hAnsi="Arial" w:cs="Arial"/>
          <w:b/>
          <w:sz w:val="28"/>
          <w:szCs w:val="28"/>
        </w:rPr>
      </w:pPr>
    </w:p>
    <w:p w:rsidR="00F16BB6" w:rsidRPr="00611626" w:rsidRDefault="008569B7" w:rsidP="008569B7">
      <w:pPr>
        <w:jc w:val="center"/>
        <w:rPr>
          <w:rFonts w:ascii="Times New Roman" w:hAnsi="Times New Roman" w:cs="Times New Roman"/>
        </w:rPr>
      </w:pPr>
      <w:r w:rsidRPr="008569B7">
        <w:rPr>
          <w:rFonts w:ascii="Arial" w:hAnsi="Arial" w:cs="Arial"/>
          <w:b/>
          <w:sz w:val="28"/>
          <w:szCs w:val="28"/>
        </w:rPr>
        <w:t xml:space="preserve">2. </w:t>
      </w:r>
      <w:r w:rsidR="00F16BB6" w:rsidRPr="008569B7">
        <w:rPr>
          <w:rFonts w:ascii="Arial" w:hAnsi="Arial" w:cs="Arial"/>
          <w:b/>
          <w:sz w:val="28"/>
          <w:szCs w:val="28"/>
        </w:rPr>
        <w:t>Формирование плана проведения общественной экспертизы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1. Проект плана проведения общественной экспертизы формируется научно-консультативным советом Общественной палаты по предложениям постоянных комиссий Общественной палаты на основе плана законопроектной работы Тюменской областной Думы, а также плана нормотворческой деятельности органов местного самоуправления либо в связи с обращением Губернатора Тюменской области и Председателя областной Думы.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2. Проект плана проведения общественной экспертизы представляется научно-консультативным советом Общественной палаты по проектам законов и иных нормативных правовых актов на утверждение в совет Общественной палаты.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Совет Общественной палаты принимает решение о проведении общественной экспертизы проектов законов, иных нормативных правовых актов и формирует экспертные группы из состава Общественной палаты, научно-консультативного совета, а также общественных экспертов из научных, некоммерческих организаций и общественных объединений.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 xml:space="preserve">В соответствии с утвержденным планом проведения общественной экспертизы Аппарат Общественной палаты информирует Губернатора Тюменской области, Председателя областной Думы Тюменской </w:t>
      </w:r>
      <w:r w:rsidRPr="006A56B9">
        <w:rPr>
          <w:rFonts w:ascii="Arial" w:hAnsi="Arial" w:cs="Arial"/>
          <w:sz w:val="28"/>
          <w:szCs w:val="28"/>
        </w:rPr>
        <w:lastRenderedPageBreak/>
        <w:t xml:space="preserve">области о перечне проектов законов и иных нормативных правовых актов, подлежащих общественной экспертизе. 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3. Совет Общественной палаты вправе по предложению постоянных комиссий и (или) научно-консультативного совета Общественной палаты внести изменения в план проведения общественной экспертизы.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Утвержденный Советом Общественной палаты план проведения общественной экспертизы, размещается на официальном сайте Общественной палаты. На сайте могут размещаться также тексты законопроектов и иных нормативных правовых актов, внесенных в план.</w:t>
      </w:r>
    </w:p>
    <w:p w:rsidR="00F16BB6" w:rsidRPr="00611626" w:rsidRDefault="00F16BB6" w:rsidP="00F16BB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16BB6" w:rsidRPr="006A56B9" w:rsidRDefault="008569B7" w:rsidP="008569B7">
      <w:pPr>
        <w:jc w:val="center"/>
        <w:rPr>
          <w:rFonts w:ascii="Arial" w:hAnsi="Arial" w:cs="Arial"/>
          <w:sz w:val="28"/>
          <w:szCs w:val="28"/>
        </w:rPr>
      </w:pPr>
      <w:r w:rsidRPr="008569B7">
        <w:rPr>
          <w:rFonts w:ascii="Arial" w:hAnsi="Arial" w:cs="Arial"/>
          <w:b/>
          <w:sz w:val="28"/>
          <w:szCs w:val="28"/>
        </w:rPr>
        <w:t xml:space="preserve">3. </w:t>
      </w:r>
      <w:r w:rsidR="00F16BB6" w:rsidRPr="008569B7">
        <w:rPr>
          <w:rFonts w:ascii="Arial" w:hAnsi="Arial" w:cs="Arial"/>
          <w:b/>
          <w:sz w:val="28"/>
          <w:szCs w:val="28"/>
        </w:rPr>
        <w:t>Порядок проведения общественной экспертизы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1. Для проведения общественной экспертизы в соответствии с решением Совета Общественной палаты о включении в план проведения общественной экспертизы законопроекта или иного проекта нормативного правового акта экспертная группа Общественной палаты, ответственная за подготовку проекта заключения назначает и сообщает Совету Общественной палаты Тюменской области фамилию, имя, отчество эксперта, входящего в состав экспертной группы и направляемого в качестве представителя от Общественной палаты для участия в работе комитетов и комиссий Тюменской областной Думы при рассмотрении законопроектов, являющихся объектом общественной экспертизы. Кандидатура представителя Общественной палаты утверждается решением Совета Общественной палаты.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2. Экспертные группы создаются на период проведения общественной экспертизы проектов законов и иных нормативных правовых актов Тюменской области и органов местного самоуправления.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3. В качестве экспертов привлекаются: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юридические лица (некоммерческие организации, деятельность которых направлена на развитие гражданского общества и относится к сфере их уставной деятельности (далее – некоммерческие организации);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физические лица, обладающие научными и практическими знаниями, необходимыми для проведения экспертизы, удовлетворяющие следующим требованиям: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высшее и (или) послевузовское профессиональное образование, ученая степень по направлению, соответствующему профилю экспертной деятельности;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предшествующий стаж практической работы по профилю экспертной деятельности не менее 5 лет;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знание международных актов и законодательства Российской Федерации в области соответствующей экспертной деятельности;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умение проводить необходимые исследования, оформлять по их результатам соответствующие документы и заключения экспертизы.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Физическое лицо представляет в экспертную группу по проведению общественной экспертизы проектов законов и иных нормативных правовых актов: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1) копию документа государственного образца о высшем профессиональном образовании;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2) копию трудовой книжки;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3) копию документов об ученых степенях и ученых званиях (если имеются);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4) информацию о наличии научных трудов в соответствующей сфере регулирования исследуемого проекта нормативного правового документа.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Юридическое лицо представляет в экспертную группу по проведению общественной экспертизы проектов законов и иных нормативных правовых актов: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1) копию свидетельства о регистрации общественного объединения;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2) копию свидетельства о внесении записи в единый государственный реестр юридических лиц;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3) копию устава.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Решение о привлечении дополнительных физических или юридических лиц в качестве экспертов принимается экспертной группой.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4. Эксперты привлекаются к работе на общественных началах. В исключительных случаях эксперты могут привлекаться на основании договора, заключенного в соответствии с законодательством Российской Федерации. Финансирование данного вида работ осуществляется Аппаратом Общественной палаты.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5. В целях обеспечения публичности и привлечения широкого круга институтов гражданского общества, участие в проведении общественной экспертизы законопроектов и подготовке проектов заключений по результатам их рассмотрения могут принимать Общественные палаты (советы) муниципальных образований, некоммерческие организации.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Некоммерческие организации, изъявившие желание принять участие в проведении общественной экспертизы проектов законов и иных нормативных правовых актов, направляют письменные предложения в экспертную группу.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 xml:space="preserve">Аппарат Общественной палаты организует информирование профильных некоммерческих организаций о проведении общественной экспертизы проектов законов, иных нормативных правовых актов и о формировании экспертных групп, а также осуществляет сбор и обработку предложений экспертов и организаций. Письменные предложения, направляемые в экспертную группу, рекомендуется </w:t>
      </w:r>
      <w:r w:rsidRPr="006A56B9">
        <w:rPr>
          <w:rFonts w:ascii="Arial" w:hAnsi="Arial" w:cs="Arial"/>
          <w:sz w:val="28"/>
          <w:szCs w:val="28"/>
        </w:rPr>
        <w:lastRenderedPageBreak/>
        <w:t>отражать в справках в виде таблицы.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F16BB6" w:rsidRPr="006A56B9" w:rsidRDefault="00F16BB6" w:rsidP="008569B7">
      <w:pPr>
        <w:jc w:val="center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Таблица: структура Справки по подготовке</w:t>
      </w:r>
      <w:r w:rsidR="008569B7">
        <w:rPr>
          <w:rFonts w:ascii="Arial" w:hAnsi="Arial" w:cs="Arial"/>
          <w:sz w:val="28"/>
          <w:szCs w:val="28"/>
        </w:rPr>
        <w:t xml:space="preserve"> </w:t>
      </w:r>
      <w:r w:rsidRPr="006A56B9">
        <w:rPr>
          <w:rFonts w:ascii="Arial" w:hAnsi="Arial" w:cs="Arial"/>
          <w:sz w:val="28"/>
          <w:szCs w:val="28"/>
        </w:rPr>
        <w:t>общественной</w:t>
      </w:r>
      <w:r w:rsidR="006A56B9">
        <w:rPr>
          <w:rFonts w:ascii="Arial" w:hAnsi="Arial" w:cs="Arial"/>
          <w:sz w:val="28"/>
          <w:szCs w:val="28"/>
        </w:rPr>
        <w:t xml:space="preserve"> </w:t>
      </w:r>
      <w:r w:rsidRPr="006A56B9">
        <w:rPr>
          <w:rFonts w:ascii="Arial" w:hAnsi="Arial" w:cs="Arial"/>
          <w:sz w:val="28"/>
          <w:szCs w:val="28"/>
        </w:rPr>
        <w:t>экспертизы (экспертизы) проектов законов</w:t>
      </w:r>
      <w:r w:rsidR="008569B7">
        <w:rPr>
          <w:rFonts w:ascii="Arial" w:hAnsi="Arial" w:cs="Arial"/>
          <w:sz w:val="28"/>
          <w:szCs w:val="28"/>
        </w:rPr>
        <w:t xml:space="preserve"> </w:t>
      </w:r>
      <w:r w:rsidRPr="006A56B9">
        <w:rPr>
          <w:rFonts w:ascii="Arial" w:hAnsi="Arial" w:cs="Arial"/>
          <w:sz w:val="28"/>
          <w:szCs w:val="28"/>
        </w:rPr>
        <w:t>и иных нормативных правовых актов</w:t>
      </w:r>
    </w:p>
    <w:tbl>
      <w:tblPr>
        <w:tblW w:w="9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17"/>
        <w:gridCol w:w="3246"/>
        <w:gridCol w:w="5843"/>
      </w:tblGrid>
      <w:tr w:rsidR="00F16BB6" w:rsidRPr="006A56B9" w:rsidTr="00E76061">
        <w:trPr>
          <w:jc w:val="center"/>
        </w:trPr>
        <w:tc>
          <w:tcPr>
            <w:tcW w:w="617" w:type="dxa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>№ п/п</w:t>
            </w:r>
          </w:p>
        </w:tc>
        <w:tc>
          <w:tcPr>
            <w:tcW w:w="3246" w:type="dxa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>Раздел Справки</w:t>
            </w:r>
          </w:p>
        </w:tc>
        <w:tc>
          <w:tcPr>
            <w:tcW w:w="5843" w:type="dxa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>Примерное содержание</w:t>
            </w:r>
          </w:p>
        </w:tc>
      </w:tr>
      <w:tr w:rsidR="00F16BB6" w:rsidRPr="006A56B9" w:rsidTr="00E76061">
        <w:trPr>
          <w:jc w:val="center"/>
        </w:trPr>
        <w:tc>
          <w:tcPr>
            <w:tcW w:w="617" w:type="dxa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>1.</w:t>
            </w:r>
          </w:p>
        </w:tc>
        <w:tc>
          <w:tcPr>
            <w:tcW w:w="3246" w:type="dxa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>В чем выражается изменение сложившихся общественных отношений</w:t>
            </w:r>
          </w:p>
        </w:tc>
        <w:tc>
          <w:tcPr>
            <w:tcW w:w="5843" w:type="dxa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>Обоснование: существенных изменений; создания нового вида (сферы) общественных отношений; незначительных изменений и т.п.</w:t>
            </w:r>
          </w:p>
        </w:tc>
      </w:tr>
      <w:tr w:rsidR="00F16BB6" w:rsidRPr="006A56B9" w:rsidTr="00E76061">
        <w:trPr>
          <w:jc w:val="center"/>
        </w:trPr>
        <w:tc>
          <w:tcPr>
            <w:tcW w:w="617" w:type="dxa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>2.</w:t>
            </w:r>
          </w:p>
        </w:tc>
        <w:tc>
          <w:tcPr>
            <w:tcW w:w="3246" w:type="dxa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>Существующие социальные проблемы в рассматриваемой сфере</w:t>
            </w:r>
          </w:p>
        </w:tc>
        <w:tc>
          <w:tcPr>
            <w:tcW w:w="5843" w:type="dxa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>Описание проблем, эффективности их решения на настоящий момент (оценка качества государственного управления в рассматриваемой сфере; проблемы, препятствующие организации эффективного управления, и др.)</w:t>
            </w:r>
          </w:p>
        </w:tc>
      </w:tr>
      <w:tr w:rsidR="00F16BB6" w:rsidRPr="006A56B9" w:rsidTr="00E76061">
        <w:trPr>
          <w:jc w:val="center"/>
        </w:trPr>
        <w:tc>
          <w:tcPr>
            <w:tcW w:w="617" w:type="dxa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>3.</w:t>
            </w:r>
          </w:p>
        </w:tc>
        <w:tc>
          <w:tcPr>
            <w:tcW w:w="3246" w:type="dxa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>Круг субъектов гражданского общества, чьи права будут затронуты в результате принятия нормативного правового акта</w:t>
            </w:r>
          </w:p>
        </w:tc>
        <w:tc>
          <w:tcPr>
            <w:tcW w:w="5843" w:type="dxa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 xml:space="preserve">Семья, школа, детские учреждения, учащиеся и студенты, группы населения </w:t>
            </w:r>
            <w:r w:rsidR="006A56B9">
              <w:rPr>
                <w:rFonts w:ascii="Arial" w:hAnsi="Arial" w:cs="Arial"/>
                <w:sz w:val="28"/>
                <w:szCs w:val="28"/>
              </w:rPr>
              <w:t xml:space="preserve">– </w:t>
            </w:r>
            <w:r w:rsidRPr="006A56B9">
              <w:rPr>
                <w:rFonts w:ascii="Arial" w:hAnsi="Arial" w:cs="Arial"/>
                <w:sz w:val="28"/>
                <w:szCs w:val="28"/>
              </w:rPr>
              <w:t>пенсионеры, инвалиды, малоимущие, безработные, мигранты, церковнослужители, верующие и т.п.; субъекты малого предпринимательства и социально значимых областей бизнеса и пр.</w:t>
            </w:r>
          </w:p>
        </w:tc>
      </w:tr>
      <w:tr w:rsidR="00F16BB6" w:rsidRPr="006A56B9" w:rsidTr="00E76061">
        <w:trPr>
          <w:jc w:val="center"/>
        </w:trPr>
        <w:tc>
          <w:tcPr>
            <w:tcW w:w="617" w:type="dxa"/>
            <w:vMerge w:val="restart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>4.</w:t>
            </w:r>
          </w:p>
        </w:tc>
        <w:tc>
          <w:tcPr>
            <w:tcW w:w="3246" w:type="dxa"/>
            <w:vMerge w:val="restart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>Социальные последствия принятия нормативного правового акта</w:t>
            </w:r>
          </w:p>
        </w:tc>
        <w:tc>
          <w:tcPr>
            <w:tcW w:w="5843" w:type="dxa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>4.1. ограничение социально значимых прав</w:t>
            </w:r>
          </w:p>
        </w:tc>
      </w:tr>
      <w:tr w:rsidR="00F16BB6" w:rsidRPr="006A56B9" w:rsidTr="00E76061">
        <w:trPr>
          <w:jc w:val="center"/>
        </w:trPr>
        <w:tc>
          <w:tcPr>
            <w:tcW w:w="617" w:type="dxa"/>
            <w:vMerge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46" w:type="dxa"/>
            <w:vMerge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843" w:type="dxa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>4.2. осложнение порядка обращений граждан (и их объединений), получения разрешений</w:t>
            </w:r>
          </w:p>
        </w:tc>
      </w:tr>
      <w:tr w:rsidR="00F16BB6" w:rsidRPr="006A56B9" w:rsidTr="00E76061">
        <w:trPr>
          <w:jc w:val="center"/>
        </w:trPr>
        <w:tc>
          <w:tcPr>
            <w:tcW w:w="617" w:type="dxa"/>
            <w:vMerge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46" w:type="dxa"/>
            <w:vMerge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843" w:type="dxa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>4.3. снижение социально-экономической защищенности граждан (и их объединений) по сравнению с существующим порядком</w:t>
            </w:r>
          </w:p>
        </w:tc>
      </w:tr>
      <w:tr w:rsidR="00F16BB6" w:rsidRPr="006A56B9" w:rsidTr="00E76061">
        <w:trPr>
          <w:jc w:val="center"/>
        </w:trPr>
        <w:tc>
          <w:tcPr>
            <w:tcW w:w="617" w:type="dxa"/>
            <w:vMerge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46" w:type="dxa"/>
            <w:vMerge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843" w:type="dxa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>4.4. подрыв авторитета государственной власти и местного самоуправления</w:t>
            </w:r>
          </w:p>
        </w:tc>
      </w:tr>
      <w:tr w:rsidR="00F16BB6" w:rsidRPr="006A56B9" w:rsidTr="00E76061">
        <w:trPr>
          <w:jc w:val="center"/>
        </w:trPr>
        <w:tc>
          <w:tcPr>
            <w:tcW w:w="617" w:type="dxa"/>
            <w:vMerge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46" w:type="dxa"/>
            <w:vMerge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843" w:type="dxa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>4.5. снижение возможности общественного контроля над деятельностью органов государственной власти и местного самоуправления, оказания влияния на их решения</w:t>
            </w:r>
          </w:p>
        </w:tc>
      </w:tr>
      <w:tr w:rsidR="00F16BB6" w:rsidRPr="006A56B9" w:rsidTr="00E76061">
        <w:trPr>
          <w:jc w:val="center"/>
        </w:trPr>
        <w:tc>
          <w:tcPr>
            <w:tcW w:w="617" w:type="dxa"/>
            <w:vMerge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246" w:type="dxa"/>
            <w:vMerge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843" w:type="dxa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>4.6. ограничение доступа граждан (и их объединений) к решению вопросов в органах государственной власти и местного самоуправления</w:t>
            </w:r>
          </w:p>
        </w:tc>
      </w:tr>
      <w:tr w:rsidR="00F16BB6" w:rsidRPr="006A56B9" w:rsidTr="00E76061">
        <w:trPr>
          <w:jc w:val="center"/>
        </w:trPr>
        <w:tc>
          <w:tcPr>
            <w:tcW w:w="617" w:type="dxa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>5.</w:t>
            </w:r>
          </w:p>
        </w:tc>
        <w:tc>
          <w:tcPr>
            <w:tcW w:w="3246" w:type="dxa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>Предложения по изменению сложившейся ситуации в рассматриваемой сфере общественных отношений с учетом положений нормативного правового акта</w:t>
            </w:r>
          </w:p>
        </w:tc>
        <w:tc>
          <w:tcPr>
            <w:tcW w:w="5843" w:type="dxa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>Меры нормативно-правового и организационного характера</w:t>
            </w:r>
          </w:p>
        </w:tc>
      </w:tr>
      <w:tr w:rsidR="00F16BB6" w:rsidRPr="006A56B9" w:rsidTr="00E76061">
        <w:trPr>
          <w:trHeight w:val="846"/>
          <w:jc w:val="center"/>
        </w:trPr>
        <w:tc>
          <w:tcPr>
            <w:tcW w:w="617" w:type="dxa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>6.</w:t>
            </w:r>
          </w:p>
        </w:tc>
        <w:tc>
          <w:tcPr>
            <w:tcW w:w="3246" w:type="dxa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>Приложение</w:t>
            </w:r>
          </w:p>
        </w:tc>
        <w:tc>
          <w:tcPr>
            <w:tcW w:w="5843" w:type="dxa"/>
            <w:vAlign w:val="center"/>
          </w:tcPr>
          <w:p w:rsidR="00F16BB6" w:rsidRPr="006A56B9" w:rsidRDefault="00F16BB6" w:rsidP="006A56B9">
            <w:pPr>
              <w:rPr>
                <w:rFonts w:ascii="Arial" w:hAnsi="Arial" w:cs="Arial"/>
                <w:sz w:val="28"/>
                <w:szCs w:val="28"/>
              </w:rPr>
            </w:pPr>
            <w:r w:rsidRPr="006A56B9">
              <w:rPr>
                <w:rFonts w:ascii="Arial" w:hAnsi="Arial" w:cs="Arial"/>
                <w:sz w:val="28"/>
                <w:szCs w:val="28"/>
              </w:rPr>
              <w:t>Характеристика использованных источников, расчеты и иные материалы, способные оказать помощь в подготовке Заключения общественной экспертизы</w:t>
            </w:r>
          </w:p>
        </w:tc>
      </w:tr>
    </w:tbl>
    <w:p w:rsidR="00F16BB6" w:rsidRPr="006A56B9" w:rsidRDefault="00F16BB6" w:rsidP="006A56B9">
      <w:pPr>
        <w:rPr>
          <w:rFonts w:ascii="Arial" w:hAnsi="Arial" w:cs="Arial"/>
          <w:sz w:val="28"/>
          <w:szCs w:val="28"/>
        </w:rPr>
      </w:pPr>
    </w:p>
    <w:p w:rsidR="00F16BB6" w:rsidRPr="006A56B9" w:rsidRDefault="008569B7" w:rsidP="008569B7">
      <w:pPr>
        <w:jc w:val="center"/>
        <w:rPr>
          <w:rFonts w:ascii="Arial" w:hAnsi="Arial" w:cs="Arial"/>
          <w:sz w:val="28"/>
          <w:szCs w:val="28"/>
        </w:rPr>
      </w:pPr>
      <w:r w:rsidRPr="008569B7">
        <w:rPr>
          <w:rFonts w:ascii="Arial" w:hAnsi="Arial" w:cs="Arial"/>
          <w:b/>
          <w:sz w:val="28"/>
          <w:szCs w:val="28"/>
        </w:rPr>
        <w:t xml:space="preserve">4. </w:t>
      </w:r>
      <w:r w:rsidR="00F16BB6" w:rsidRPr="008569B7">
        <w:rPr>
          <w:rFonts w:ascii="Arial" w:hAnsi="Arial" w:cs="Arial"/>
          <w:b/>
          <w:sz w:val="28"/>
          <w:szCs w:val="28"/>
        </w:rPr>
        <w:t>Сроки проведения общественной экспертизы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1. Работа по проведению общественной экспертизы проектов законов и иных нормативных правовых актов организуется так, чтобы заключение Совета Общественной палаты поступило в Тюменскую областную Думу до первого чтения законопроекта.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В исключительных случаях по законопроектам, затрагивающим вопросы социальной политики и конституционных прав граждан, заключение может быть направлено в Тюменскую областную Думу ко второму чтению.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2. Работа по проведению общественной экспертизы законопроектов и иных проектов нормативных правовых актов, разрабатываемых Правительством Тюменской области, региональными органами исполнительной власти, органами местного самоуправления осуществляется в сроки, установленные планами законопроектных работ, программами деятельности и иными актами указанных органов.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Председатель научно-консультативного совета рассматривает подготовленный экспертной группой проект заключения в срок, который не может превышать 5 календарных дней.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При этом общий срок подготовки заключения не может превышать 25 календарных дней со дня поступления законопроекта в Общественную палату либо со дня начала общественной экспертизы в соответствии с утвержденным планом.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 xml:space="preserve">Если Тюменской областной Думой установлены более сжатые сроки, экспертная группа, ответственная за проведение экспертизы, </w:t>
      </w:r>
      <w:r w:rsidRPr="006A56B9">
        <w:rPr>
          <w:rFonts w:ascii="Arial" w:hAnsi="Arial" w:cs="Arial"/>
          <w:sz w:val="28"/>
          <w:szCs w:val="28"/>
        </w:rPr>
        <w:lastRenderedPageBreak/>
        <w:t>организует оперативную подготовку проекта заключения.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F16BB6" w:rsidRPr="006A56B9" w:rsidRDefault="008569B7" w:rsidP="008569B7">
      <w:pPr>
        <w:jc w:val="center"/>
        <w:rPr>
          <w:rFonts w:ascii="Arial" w:hAnsi="Arial" w:cs="Arial"/>
          <w:sz w:val="28"/>
          <w:szCs w:val="28"/>
        </w:rPr>
      </w:pPr>
      <w:r w:rsidRPr="008569B7">
        <w:rPr>
          <w:rFonts w:ascii="Arial" w:hAnsi="Arial" w:cs="Arial"/>
          <w:b/>
          <w:sz w:val="28"/>
          <w:szCs w:val="28"/>
        </w:rPr>
        <w:t xml:space="preserve">5. </w:t>
      </w:r>
      <w:r w:rsidR="00F16BB6" w:rsidRPr="008569B7">
        <w:rPr>
          <w:rFonts w:ascii="Arial" w:hAnsi="Arial" w:cs="Arial"/>
          <w:b/>
          <w:sz w:val="28"/>
          <w:szCs w:val="28"/>
        </w:rPr>
        <w:t>Организация деятельности экспертной группы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1. Организацию деятельности экспертной группы осуществляет ее руководитель.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Руководитель экспертной группы: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вносит предложения о порядке работы экспертной группы;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направляет членам экспертной группы документы и материалы, поступившие для рассмотрения и подготовки проекта заключения;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созывает очередное заседание экспертной группы;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составляет проект повестки дня заседания экспертной группы;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проводит заседания экспертной группы;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подписывает протоколы заседаний экспертной группы;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координирует работу членов экспертной группы;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решает иные вопросы деятельности экспертной группы в соответствии с настоящим Положением.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Член экспертной группы: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участвует в заседаниях экспертной группы;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вносит предложения и замечания по обсуждаемому вопросу;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в случае невозможности личного участия в заседании экспертной группы направляет предложения и замечания в письменном виде.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2. Первое заседание экспертной группы проводится не позднее 5 рабочих дней со дня поступления проекта закона или иного нормативного правового акта в Общественную палату либо со дня начала общественной экспертизы в соответствии с утвержденным планом.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3. Руководитель экспертной группы уведомляет членов группы, иных участников заседания о месте и времени заседания экспертной группы, повестке дня, а также готовит необходимые материалы к заседанию.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4. Заседание экспертной группы правомочно, если на нем присутствует более половины от общего числа ее членов.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5. Повестка дня заседания экспертной группы утверждается членами экспертной группы.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6. В случае отсутствия руководителя экспертной группы заседание проводит член экспертной группы, уполномоченный руководителем.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7. Решение экспертной группы принимается большинством голосов от общего числа ее членов, присутствующих на заседании.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8. В заседаниях экспертной группы могут принимать участие члены Общественной палаты с правом совещательного голоса.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По приглашению руководителя на заседании экспертной группы могут присутствовать представители органов власти, органов местного самоуправления, эксперты, а также представители некоммерческих организаций и иные лица.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 xml:space="preserve">9. В заседаниях экспертной группы могут принимать участие </w:t>
      </w:r>
      <w:r w:rsidRPr="006A56B9">
        <w:rPr>
          <w:rFonts w:ascii="Arial" w:hAnsi="Arial" w:cs="Arial"/>
          <w:sz w:val="28"/>
          <w:szCs w:val="28"/>
        </w:rPr>
        <w:lastRenderedPageBreak/>
        <w:t>представители Аппарата Общественной палаты.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10. По итогам заседания экспертной группы составляется протокол, который подписывает председательствующий (руководитель экспертной группы или уполномоченное им лицо).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11. По итогам заседания экспертная группа готовит проект заключения по результатам общественной экспертизы проекта закона или иного нормативного правового акта и утверждает его.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12. Проект заключения по результатам общественной экспертизы проекта закона или иного нормативного правового акта экспертной группы подписывается руководителем и членами экспертной группы.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F16BB6" w:rsidRPr="008569B7" w:rsidRDefault="008569B7" w:rsidP="008569B7">
      <w:pPr>
        <w:jc w:val="center"/>
        <w:rPr>
          <w:rFonts w:ascii="Arial" w:hAnsi="Arial" w:cs="Arial"/>
          <w:sz w:val="28"/>
          <w:szCs w:val="28"/>
        </w:rPr>
      </w:pPr>
      <w:r w:rsidRPr="008569B7">
        <w:rPr>
          <w:rFonts w:ascii="Arial" w:hAnsi="Arial" w:cs="Arial"/>
          <w:b/>
          <w:sz w:val="28"/>
          <w:szCs w:val="28"/>
        </w:rPr>
        <w:t xml:space="preserve">6. </w:t>
      </w:r>
      <w:r w:rsidR="00F16BB6" w:rsidRPr="008569B7">
        <w:rPr>
          <w:rFonts w:ascii="Arial" w:hAnsi="Arial" w:cs="Arial"/>
          <w:b/>
          <w:sz w:val="28"/>
          <w:szCs w:val="28"/>
        </w:rPr>
        <w:t>Содержание заключения по результатам общественной экспертизы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1. По результатам проведения общественной экспертизы соответствующего законопроекта или иного нормативного правового акта готовится проект заключения.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Процесс подготовки заключения по результатам общественной экспертизы включает в себя следующие цели и задачи:</w:t>
      </w:r>
    </w:p>
    <w:p w:rsidR="00F16BB6" w:rsidRPr="006A56B9" w:rsidRDefault="006A56B9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выявление процессов регионального, муниципального, а также общероссийского характера, связанных с взаимодействием граждан Российской Федерации с региональными органами государственной власти и органами местного самоуправления;</w:t>
      </w:r>
    </w:p>
    <w:p w:rsidR="00F16BB6" w:rsidRPr="006A56B9" w:rsidRDefault="006A56B9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выявление проблем, способных нанести существенный вред правам и свободам граждан, правам общественных объединений при формировании и реализации государственной политики в сфере осуществления общественного контроля за деятельностью региональных органов исполнительной власти и органов местного самоуправления;</w:t>
      </w:r>
    </w:p>
    <w:p w:rsidR="00F16BB6" w:rsidRPr="006A56B9" w:rsidRDefault="006A56B9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обоснование необходимости принятия мер нормотворческого, управленческого и иного характера в рассматриваемой сфере.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2. При подготовке проекта заключения по результатам общественной экспертизы экспертной группой в обязательном порядке учитываются предложения и выводы, содержащиеся в справках (опросных листах), материалах и документах, поступивших из некоммерческих организаций и Общественных палат муниципальных образований.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 xml:space="preserve">Проект заключения подписывается экспертом или (экспертами). Если подготовка заключения поручалась организации </w:t>
      </w:r>
      <w:r w:rsidR="006A56B9">
        <w:rPr>
          <w:rFonts w:ascii="Arial" w:hAnsi="Arial" w:cs="Arial"/>
          <w:sz w:val="28"/>
          <w:szCs w:val="28"/>
        </w:rPr>
        <w:t xml:space="preserve">– </w:t>
      </w:r>
      <w:r w:rsidRPr="006A56B9">
        <w:rPr>
          <w:rFonts w:ascii="Arial" w:hAnsi="Arial" w:cs="Arial"/>
          <w:sz w:val="28"/>
          <w:szCs w:val="28"/>
        </w:rPr>
        <w:t>руководителем организации. Проект заключения рассматривается на заседании экспертной группы, и может быть доработан с учетом замечаний и предложений других членов экспертной группы.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 xml:space="preserve">Экспертная группа в случае необходимости направляет проект заключения по результатам общественной экспертизы в научно-консультативный совет для согласования проекта заключения. По результатам рассмотрения, научно-консультативный совет вправе </w:t>
      </w:r>
      <w:r w:rsidRPr="006A56B9">
        <w:rPr>
          <w:rFonts w:ascii="Arial" w:hAnsi="Arial" w:cs="Arial"/>
          <w:sz w:val="28"/>
          <w:szCs w:val="28"/>
        </w:rPr>
        <w:lastRenderedPageBreak/>
        <w:t>поручить экспертной группе доработать проект заключения в установленные научно-консультативным советом сроки.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Разногласия по проекту заключения рассматриваются на заседании научно-консультативного совета, с участием членов экспертной группы, имеющих разногласия.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В случае, если после рассмотрения разногласий на заседании научно-консультативного совета они остались неурегулированными, решение принимается Советом Общественной Палаты.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При отсутствии замечаний проект заключения считается одобренным, если за него проголосовало более половины от общего числа членов Совета Общественной палаты.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В случае отклонения Советом Общественной палаты проекта заключения, принимается решение о прекращении процедуры общественной экспертизы, либо о повторном проведении общественной экспертизы.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В случае повторного отклонения проекта заключения общественной экспертизы Совет Общественной палаты принимает решение о прекращении процедуры общественной экспертизы.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3. Заключение по результатам общественной экспертизы законопроекта, подлежащего рассмотрению Тюменской областной Думы в первом чтении, должно содержать: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оценку концепции законопроекта и соответствие законопроекта Конституции Российской Федерации, федеральному и региональному законодательству, общепризнанным принципам и нормам права;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практическую значимость законопроекта с точки зрения защиты конституционных прав, свобод и законных интересов граждан;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сведения о правомерности и необходимости закрепления в законопроекте соответствующих положений и их объективную аргументированную оценку;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 xml:space="preserve">сведения о состоянии сферы отношений, регулируемых рассматриваемым законопроектом, иным нормативным правовым актом </w:t>
      </w:r>
      <w:r w:rsidR="006A56B9"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проблемы, эффективность;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сведения о субъектах гражданского общества, чьи права будут затронуты в результате принятия законопроекта, иного нормативного правового акта;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прогнозы развития институтов гражданского общества с учетом принятия рассматриваемого законопроекта, иного нормативного правового акта;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предложения о внесении изменений и дополнений в иные законодательные акты Тюменской области в рассматриваемой сфере общественных отношений.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4. Заключение по результатам общественной экспертизы законопроекта, подлежащего рассмотрению Тюменской областной Думой во втором чтении, должно, как правило, содержать: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 xml:space="preserve">обоснованные рекомендации по доработке отдельных </w:t>
      </w:r>
      <w:r w:rsidR="00F16BB6" w:rsidRPr="006A56B9">
        <w:rPr>
          <w:rFonts w:ascii="Arial" w:hAnsi="Arial" w:cs="Arial"/>
          <w:sz w:val="28"/>
          <w:szCs w:val="28"/>
        </w:rPr>
        <w:lastRenderedPageBreak/>
        <w:t>положений законопроекта, а также поправки к законопроекту, принятому или одобренному в первом чтении, в виде изменения редакции статей либо в виде дополнения законопроекта конкретными статьями, либо в виде предложений об исключении конкретных слов, пунктов, частей или статей законопроекта;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краткую мотивировку предлагаемых поправок.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5. Заключение по результатам общественной экспертизы проектов нормативных правовых актов, разрабатываемых Правительством Тюменской области, региональными органами исполнительной власти, органами местного самоуправления, должно содержать: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оценку соответствия проекта нормативного правового акта нормативным правовым актам более высокой юридической силы и ранее принятым решениям Правительства Тюменской области, региональных органов исполнительной власти, органов местного самоуправления;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обоснование и прогноз социально-экономических и иных последствий реализации предлагаемого решения.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6. Экспертное заключение должно состоять из общих положений, замечаний, предложений и выводов.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В тексте заключения не рекомендуется использовать узкоспециальные термины (за исключением юридических), эмоционально окрашенную (экспрессивную) лексику, жаргонизмы (в том числе и профессиональные). Заключение должно соответствовать официальному деловому стилю, быть точным, четким и максимально информационно насыщенным, понятным для восприятия.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</w:p>
    <w:p w:rsidR="00F16BB6" w:rsidRPr="008569B7" w:rsidRDefault="008569B7" w:rsidP="008569B7">
      <w:pPr>
        <w:jc w:val="center"/>
        <w:rPr>
          <w:rFonts w:ascii="Arial" w:hAnsi="Arial" w:cs="Arial"/>
          <w:sz w:val="28"/>
          <w:szCs w:val="28"/>
        </w:rPr>
      </w:pPr>
      <w:r w:rsidRPr="008569B7">
        <w:rPr>
          <w:rFonts w:ascii="Arial" w:hAnsi="Arial" w:cs="Arial"/>
          <w:b/>
          <w:sz w:val="28"/>
          <w:szCs w:val="28"/>
        </w:rPr>
        <w:t xml:space="preserve">7. </w:t>
      </w:r>
      <w:r w:rsidR="00F16BB6" w:rsidRPr="008569B7">
        <w:rPr>
          <w:rFonts w:ascii="Arial" w:hAnsi="Arial" w:cs="Arial"/>
          <w:b/>
          <w:sz w:val="28"/>
          <w:szCs w:val="28"/>
        </w:rPr>
        <w:t>Заключительные положения</w:t>
      </w:r>
    </w:p>
    <w:p w:rsidR="00F16BB6" w:rsidRPr="006A56B9" w:rsidRDefault="00F16BB6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 w:rsidRPr="006A56B9">
        <w:rPr>
          <w:rFonts w:ascii="Arial" w:hAnsi="Arial" w:cs="Arial"/>
          <w:sz w:val="28"/>
          <w:szCs w:val="28"/>
        </w:rPr>
        <w:t>В соответствии с Законом Тюменской области от 27.05.2010 № 29 «Об Общественной палате Тюменской области» экспертная группа вправе: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рекомендовать Совету Общественной палаты направить в Тюменскую областную Думу, Правительство Тюменской области, региональные органы исполнительной власти и органы местного самоуправления запрос о предоставлении документов и материалов, необходимых для проведения общественной экспертизы;</w:t>
      </w:r>
    </w:p>
    <w:p w:rsidR="00F16BB6" w:rsidRPr="006A56B9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предложить Совету Общественной палаты направить членов Общественной палаты для участия в работе комитетов и комиссий Тюменской областной Думы при рассмотрении законопроектов, являющихся объектом экспертизы;</w:t>
      </w:r>
    </w:p>
    <w:p w:rsidR="00F16BB6" w:rsidRPr="00F16BB6" w:rsidRDefault="008569B7" w:rsidP="006A56B9">
      <w:pPr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</w:t>
      </w:r>
      <w:r w:rsidR="00F16BB6" w:rsidRPr="006A56B9">
        <w:rPr>
          <w:rFonts w:ascii="Arial" w:hAnsi="Arial" w:cs="Arial"/>
          <w:sz w:val="28"/>
          <w:szCs w:val="28"/>
        </w:rPr>
        <w:t>предложить Совету Общественной палаты направить членов Общественной палаты на заседания Правительства Тюменской области, межведомственных комиссий региональных органов исполнительной власти, на которых рассматриваются проекты нормативных правовых актов, являющиеся объектом общественной экспертизы.</w:t>
      </w:r>
    </w:p>
    <w:sectPr w:rsidR="00F16BB6" w:rsidRPr="00F16BB6" w:rsidSect="00995D28">
      <w:footerReference w:type="default" r:id="rId7"/>
      <w:headerReference w:type="first" r:id="rId8"/>
      <w:pgSz w:w="11906" w:h="16838"/>
      <w:pgMar w:top="1134" w:right="850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FFA" w:rsidRDefault="005F1FFA" w:rsidP="00995D28">
      <w:r>
        <w:separator/>
      </w:r>
    </w:p>
  </w:endnote>
  <w:endnote w:type="continuationSeparator" w:id="0">
    <w:p w:rsidR="005F1FFA" w:rsidRDefault="005F1FFA" w:rsidP="00995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59251189"/>
      <w:docPartObj>
        <w:docPartGallery w:val="Page Numbers (Bottom of Page)"/>
        <w:docPartUnique/>
      </w:docPartObj>
    </w:sdtPr>
    <w:sdtEndPr/>
    <w:sdtContent>
      <w:p w:rsidR="00995D28" w:rsidRDefault="00995D28" w:rsidP="00995D2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69B7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FFA" w:rsidRDefault="005F1FFA" w:rsidP="00995D28">
      <w:r>
        <w:separator/>
      </w:r>
    </w:p>
  </w:footnote>
  <w:footnote w:type="continuationSeparator" w:id="0">
    <w:p w:rsidR="005F1FFA" w:rsidRDefault="005F1FFA" w:rsidP="00995D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1AE" w:rsidRDefault="004051AE" w:rsidP="004051AE">
    <w:pPr>
      <w:jc w:val="right"/>
      <w:rPr>
        <w:rFonts w:ascii="Times New Roman" w:hAnsi="Times New Roman"/>
        <w:b/>
        <w:i/>
        <w:sz w:val="26"/>
        <w:szCs w:val="26"/>
      </w:rPr>
    </w:pPr>
    <w:r>
      <w:rPr>
        <w:rFonts w:ascii="Times New Roman" w:hAnsi="Times New Roman"/>
        <w:b/>
        <w:i/>
        <w:sz w:val="26"/>
        <w:szCs w:val="26"/>
      </w:rPr>
      <w:t>Утверждено решением Совета</w:t>
    </w:r>
  </w:p>
  <w:p w:rsidR="004051AE" w:rsidRDefault="004051AE" w:rsidP="004051AE">
    <w:pPr>
      <w:jc w:val="right"/>
      <w:rPr>
        <w:rFonts w:ascii="Times New Roman" w:hAnsi="Times New Roman"/>
        <w:b/>
        <w:i/>
        <w:sz w:val="26"/>
        <w:szCs w:val="26"/>
      </w:rPr>
    </w:pPr>
    <w:r>
      <w:rPr>
        <w:rFonts w:ascii="Times New Roman" w:hAnsi="Times New Roman"/>
        <w:b/>
        <w:i/>
        <w:sz w:val="26"/>
        <w:szCs w:val="26"/>
      </w:rPr>
      <w:t>Общественной палаты Тюменской области</w:t>
    </w:r>
  </w:p>
  <w:p w:rsidR="004051AE" w:rsidRPr="00101556" w:rsidRDefault="004051AE" w:rsidP="004051AE">
    <w:pPr>
      <w:jc w:val="right"/>
      <w:rPr>
        <w:rFonts w:ascii="Times New Roman" w:hAnsi="Times New Roman"/>
        <w:sz w:val="26"/>
        <w:szCs w:val="26"/>
      </w:rPr>
    </w:pPr>
    <w:r>
      <w:rPr>
        <w:rFonts w:ascii="Times New Roman" w:hAnsi="Times New Roman"/>
        <w:b/>
        <w:i/>
        <w:sz w:val="26"/>
        <w:szCs w:val="26"/>
      </w:rPr>
      <w:t>от 13 сентября 2018 года (Протокол № 27с/18)</w:t>
    </w:r>
  </w:p>
  <w:p w:rsidR="00995D28" w:rsidRPr="004051AE" w:rsidRDefault="004051AE" w:rsidP="004051AE">
    <w:pPr>
      <w:jc w:val="right"/>
    </w:pPr>
    <w:r>
      <w:rPr>
        <w:noProof/>
        <w:lang w:bidi="ar-SA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681355</wp:posOffset>
          </wp:positionH>
          <wp:positionV relativeFrom="paragraph">
            <wp:posOffset>-25400</wp:posOffset>
          </wp:positionV>
          <wp:extent cx="5362575" cy="19050"/>
          <wp:effectExtent l="0" t="0" r="9525" b="0"/>
          <wp:wrapNone/>
          <wp:docPr id="4" name="Рисунок 4" descr="бланк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9" descr="бланк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2575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bidi="ar-SA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-194310</wp:posOffset>
          </wp:positionH>
          <wp:positionV relativeFrom="paragraph">
            <wp:posOffset>-222250</wp:posOffset>
          </wp:positionV>
          <wp:extent cx="400050" cy="400050"/>
          <wp:effectExtent l="0" t="0" r="0" b="0"/>
          <wp:wrapSquare wrapText="bothSides"/>
          <wp:docPr id="3" name="Рисунок 3" descr="logo_OP_small_s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_OP_small_siz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0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bidi="ar-SA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1999615</wp:posOffset>
          </wp:positionH>
          <wp:positionV relativeFrom="paragraph">
            <wp:posOffset>10410825</wp:posOffset>
          </wp:positionV>
          <wp:extent cx="5362575" cy="19050"/>
          <wp:effectExtent l="0" t="0" r="9525" b="0"/>
          <wp:wrapNone/>
          <wp:docPr id="2" name="Рисунок 2" descr="C:\Users\Mvideo\AppData\Local\Microsoft\Windows\INetCache\Content.Word\бланк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0" descr="C:\Users\Mvideo\AppData\Local\Microsoft\Windows\INetCache\Content.Word\бланк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2575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1999615</wp:posOffset>
          </wp:positionH>
          <wp:positionV relativeFrom="paragraph">
            <wp:posOffset>10410825</wp:posOffset>
          </wp:positionV>
          <wp:extent cx="5362575" cy="19050"/>
          <wp:effectExtent l="0" t="0" r="9525" b="0"/>
          <wp:wrapNone/>
          <wp:docPr id="1" name="Рисунок 1" descr="C:\Users\Mvideo\AppData\Local\Microsoft\Windows\INetCache\Content.Word\бланк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7" descr="C:\Users\Mvideo\AppData\Local\Microsoft\Windows\INetCache\Content.Word\бланк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2575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B55B86"/>
    <w:multiLevelType w:val="multilevel"/>
    <w:tmpl w:val="8BFCD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9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2A3"/>
    <w:rsid w:val="000A31EE"/>
    <w:rsid w:val="001811D8"/>
    <w:rsid w:val="00194BE2"/>
    <w:rsid w:val="001D02A3"/>
    <w:rsid w:val="00380A9B"/>
    <w:rsid w:val="004051AE"/>
    <w:rsid w:val="00492F61"/>
    <w:rsid w:val="005669CB"/>
    <w:rsid w:val="00570470"/>
    <w:rsid w:val="005B6B25"/>
    <w:rsid w:val="005F1FFA"/>
    <w:rsid w:val="006A56B9"/>
    <w:rsid w:val="0081609F"/>
    <w:rsid w:val="00840370"/>
    <w:rsid w:val="008451EF"/>
    <w:rsid w:val="008569B7"/>
    <w:rsid w:val="008E5C62"/>
    <w:rsid w:val="00995D28"/>
    <w:rsid w:val="00A61DEF"/>
    <w:rsid w:val="00AE0BB0"/>
    <w:rsid w:val="00CB0FED"/>
    <w:rsid w:val="00CE382A"/>
    <w:rsid w:val="00E475D1"/>
    <w:rsid w:val="00F16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D6A15C-EF46-468E-ACFD-A2EC6AC37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95D28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D02A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D02A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D02A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95D2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95D2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95D28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6">
    <w:name w:val="footer"/>
    <w:basedOn w:val="a"/>
    <w:link w:val="a7"/>
    <w:uiPriority w:val="99"/>
    <w:unhideWhenUsed/>
    <w:rsid w:val="00995D2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95D28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2949</Words>
  <Characters>16814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Абашева Анастасия Анатольевна</dc:creator>
  <cp:keywords/>
  <dc:description/>
  <cp:lastModifiedBy>Абашева Анастасия Анатольевна</cp:lastModifiedBy>
  <cp:revision>3</cp:revision>
  <dcterms:created xsi:type="dcterms:W3CDTF">2018-10-02T08:34:00Z</dcterms:created>
  <dcterms:modified xsi:type="dcterms:W3CDTF">2019-06-24T13:11:00Z</dcterms:modified>
</cp:coreProperties>
</file>